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Invitation for Bids (IFB)</w:t>
      </w:r>
    </w:p>
    <w:p w:rsidR="00000000" w:rsidDel="00000000" w:rsidP="00000000" w:rsidRDefault="00000000" w:rsidRPr="00000000" w14:paraId="00000002">
      <w:pPr>
        <w:jc w:val="center"/>
        <w:rPr>
          <w:i w:val="1"/>
          <w:sz w:val="28"/>
          <w:szCs w:val="28"/>
        </w:rPr>
      </w:pPr>
      <w:r w:rsidDel="00000000" w:rsidR="00000000" w:rsidRPr="00000000">
        <w:rPr>
          <w:i w:val="1"/>
          <w:sz w:val="28"/>
          <w:szCs w:val="28"/>
          <w:rtl w:val="0"/>
        </w:rPr>
        <w:t xml:space="preserve">COOPERATIVE REBPUBLIC OF GUYANA</w:t>
      </w:r>
    </w:p>
    <w:p w:rsidR="00000000" w:rsidDel="00000000" w:rsidP="00000000" w:rsidRDefault="00000000" w:rsidRPr="00000000" w14:paraId="00000003">
      <w:pPr>
        <w:jc w:val="center"/>
        <w:rPr>
          <w:i w:val="1"/>
        </w:rPr>
      </w:pPr>
      <w:r w:rsidDel="00000000" w:rsidR="00000000" w:rsidRPr="00000000">
        <w:rPr>
          <w:i w:val="1"/>
          <w:rtl w:val="0"/>
        </w:rPr>
        <w:t xml:space="preserve">Ministry of Housing and Water, Central Housing and Planning Authority</w:t>
      </w:r>
    </w:p>
    <w:p w:rsidR="00000000" w:rsidDel="00000000" w:rsidP="00000000" w:rsidRDefault="00000000" w:rsidRPr="00000000" w14:paraId="00000004">
      <w:pPr>
        <w:jc w:val="center"/>
        <w:rPr>
          <w:i w:val="1"/>
        </w:rPr>
      </w:pPr>
      <w:r w:rsidDel="00000000" w:rsidR="00000000" w:rsidRPr="00000000">
        <w:rPr>
          <w:i w:val="1"/>
          <w:rtl w:val="0"/>
        </w:rPr>
        <w:t xml:space="preserve">41 Brickdam &amp; United Nations Place, Stabroek, Georgetown, Region #4</w:t>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Government of the Cooperative Republic of Guyana represented by the Ministry of Housing and Water, Central Housing &amp; Planning Authority (CHPA)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Lot #41 Brickdam and United Nations Place, Stabroek, Georgetown, Region #4 invites sealed bids from eligible and qualified bidders for the following project;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29" w:right="-11"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Construction of Four (4) Lane Highway from Eccles, East Bank Demerara to Mandela Avenue, Georgetown, Region #4 – Lots 1 to 6.</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9" w:right="-357"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Bidding will be conducted through the National Competitive Bidding (NCB) process, specified in the Procurement Act 2003 and is open to all eligible bidders.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Interested eligible bidders may obtain further information from Ministry of Housing and Water, Central Housing &amp; Planning Authority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Projects Department (227-8886 / 226 – 1809) and inspect the Bidding Documents at the address mentioned above, from 09:00hrs – 15:30hrs.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complete set of Bidding Documents in English (electronic copy on a flask drive) may be purchased by interested bidders from the Central Housing and Planning Authority’s Cashier at 41 Brickdam and United Nations Place, Stabroek, Georgetown for a non - refundable amount of Twenty-Five Thousand Guyana Dollars (GYD$25,000).</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method of payment shall be cash.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shall be accompanied by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Bid Security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 follows;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GYD100Million bid security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of the bid price</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GYD101Million to GYD500Million bid security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of the bid price</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GYD501Million above bid security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of the bid price</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delivery/construction period for the project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210 days per Lot</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Envelopes shall:</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Contain the original (in paper) and 2 electronic copies (flash drive only) with an exact PDF version of the paper tender </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Clearly indicate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the contract</w:t>
      </w:r>
      <w:r w:rsidDel="00000000" w:rsidR="00000000" w:rsidRPr="00000000">
        <w:rPr>
          <w:rtl w:val="0"/>
        </w:rPr>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Bear the warning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NOT OPEN BEFORE 09:00 HRS on February 25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2021”</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must be delivered to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Chairman, National Procurement and Tender Administration Board, Ministry of Finance (North Eastern Building), Main and Urquhart Street, Kingston, Georgetown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or before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09:00 HRS on February 25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2021.</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 bids will be rejected.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will be opened physically at 09:00 hrs in the presence of the bidders’ representatives who choose to attend.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bidder may submit bids for any or all of the lots for the project.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Contracts will be awarded to the lowest evaluated qualified bidder and only one lot will be awarded to any bidder in a Project Area.</w:t>
      </w:r>
    </w:p>
    <w:p w:rsidR="00000000" w:rsidDel="00000000" w:rsidP="00000000" w:rsidRDefault="00000000" w:rsidRPr="00000000" w14:paraId="00000026">
      <w:pPr>
        <w:ind w:left="450" w:firstLine="0"/>
        <w:rPr>
          <w:highlight w:val="yellow"/>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in the event that one bidder is adjudged the lowest qualified bidder for more than one Lot, the Evaluation Committee will recommend to the benefit of the Client, which LOT the bidder is recommended for.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the Pre – Bid Meetings are depicted in the following table; </w:t>
      </w:r>
      <w:r w:rsidDel="00000000" w:rsidR="00000000" w:rsidRPr="00000000">
        <w:rPr>
          <w:rtl w:val="0"/>
        </w:rPr>
      </w:r>
    </w:p>
    <w:tbl>
      <w:tblPr>
        <w:tblStyle w:val="Table1"/>
        <w:tblW w:w="77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2268"/>
        <w:gridCol w:w="1275"/>
        <w:gridCol w:w="2127"/>
        <w:tblGridChange w:id="0">
          <w:tblGrid>
            <w:gridCol w:w="2122"/>
            <w:gridCol w:w="2268"/>
            <w:gridCol w:w="1275"/>
            <w:gridCol w:w="2127"/>
          </w:tblGrid>
        </w:tblGridChange>
      </w:tblGrid>
      <w:tr>
        <w:tc>
          <w:tcPr>
            <w:shd w:fill="fbd5b5" w:val="clear"/>
            <w:vAlign w:val="center"/>
          </w:tcPr>
          <w:p w:rsidR="00000000" w:rsidDel="00000000" w:rsidP="00000000" w:rsidRDefault="00000000" w:rsidRPr="00000000" w14:paraId="0000002A">
            <w:pPr>
              <w:pStyle w:val="Heading3"/>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AREA</w:t>
            </w:r>
          </w:p>
        </w:tc>
        <w:tc>
          <w:tcPr>
            <w:shd w:fill="fbd5b5" w:val="clear"/>
            <w:vAlign w:val="center"/>
          </w:tcPr>
          <w:p w:rsidR="00000000" w:rsidDel="00000000" w:rsidP="00000000" w:rsidRDefault="00000000" w:rsidRPr="00000000" w14:paraId="0000002B">
            <w:pPr>
              <w:pStyle w:val="Heading3"/>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tc>
        <w:tc>
          <w:tcPr>
            <w:shd w:fill="fbd5b5" w:val="clear"/>
            <w:vAlign w:val="center"/>
          </w:tcPr>
          <w:p w:rsidR="00000000" w:rsidDel="00000000" w:rsidP="00000000" w:rsidRDefault="00000000" w:rsidRPr="00000000" w14:paraId="0000002C">
            <w:pPr>
              <w:pStyle w:val="Heading3"/>
              <w:spacing w:after="0" w:before="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w:t>
            </w:r>
          </w:p>
        </w:tc>
        <w:tc>
          <w:tcPr>
            <w:shd w:fill="fbd5b5" w:val="clear"/>
            <w:vAlign w:val="center"/>
          </w:tcPr>
          <w:p w:rsidR="00000000" w:rsidDel="00000000" w:rsidP="00000000" w:rsidRDefault="00000000" w:rsidRPr="00000000" w14:paraId="0000002D">
            <w:pPr>
              <w:jc w:val="center"/>
              <w:rPr>
                <w:b w:val="1"/>
                <w:sz w:val="20"/>
                <w:szCs w:val="20"/>
              </w:rPr>
            </w:pPr>
            <w:r w:rsidDel="00000000" w:rsidR="00000000" w:rsidRPr="00000000">
              <w:rPr>
                <w:b w:val="1"/>
                <w:sz w:val="20"/>
                <w:szCs w:val="20"/>
                <w:rtl w:val="0"/>
              </w:rPr>
              <w:t xml:space="preserve">LOCATION</w:t>
            </w:r>
          </w:p>
        </w:tc>
      </w:tr>
      <w:tr>
        <w:tc>
          <w:tcPr>
            <w:vAlign w:val="center"/>
          </w:tcPr>
          <w:p w:rsidR="00000000" w:rsidDel="00000000" w:rsidP="00000000" w:rsidRDefault="00000000" w:rsidRPr="00000000" w14:paraId="0000002E">
            <w:pPr>
              <w:pStyle w:val="Heading3"/>
              <w:spacing w:after="0" w:before="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CHPA Main Office</w:t>
            </w:r>
            <w:r w:rsidDel="00000000" w:rsidR="00000000" w:rsidRPr="00000000">
              <w:rPr>
                <w:rtl w:val="0"/>
              </w:rPr>
            </w:r>
          </w:p>
        </w:tc>
        <w:tc>
          <w:tcPr>
            <w:vAlign w:val="center"/>
          </w:tcPr>
          <w:p w:rsidR="00000000" w:rsidDel="00000000" w:rsidP="00000000" w:rsidRDefault="00000000" w:rsidRPr="00000000" w14:paraId="0000002F">
            <w:pPr>
              <w:pStyle w:val="Heading3"/>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February 17th, 2021</w:t>
            </w:r>
            <w:r w:rsidDel="00000000" w:rsidR="00000000" w:rsidRPr="00000000">
              <w:rPr>
                <w:rtl w:val="0"/>
              </w:rPr>
            </w:r>
          </w:p>
        </w:tc>
        <w:tc>
          <w:tcPr>
            <w:vAlign w:val="center"/>
          </w:tcPr>
          <w:p w:rsidR="00000000" w:rsidDel="00000000" w:rsidP="00000000" w:rsidRDefault="00000000" w:rsidRPr="00000000" w14:paraId="00000030">
            <w:pPr>
              <w:pStyle w:val="Heading3"/>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10:00hrs</w:t>
            </w:r>
            <w:r w:rsidDel="00000000" w:rsidR="00000000" w:rsidRPr="00000000">
              <w:rPr>
                <w:rtl w:val="0"/>
              </w:rPr>
            </w:r>
          </w:p>
        </w:tc>
        <w:tc>
          <w:tcPr>
            <w:vAlign w:val="center"/>
          </w:tcPr>
          <w:p w:rsidR="00000000" w:rsidDel="00000000" w:rsidP="00000000" w:rsidRDefault="00000000" w:rsidRPr="00000000" w14:paraId="00000031">
            <w:pPr>
              <w:pStyle w:val="Heading3"/>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CHPA Board Room</w:t>
            </w:r>
            <w:r w:rsidDel="00000000" w:rsidR="00000000" w:rsidRPr="00000000">
              <w:rPr>
                <w:rtl w:val="0"/>
              </w:rPr>
            </w:r>
          </w:p>
        </w:tc>
      </w:tr>
      <w:tr>
        <w:tc>
          <w:tcPr>
            <w:vAlign w:val="center"/>
          </w:tcPr>
          <w:p w:rsidR="00000000" w:rsidDel="00000000" w:rsidP="00000000" w:rsidRDefault="00000000" w:rsidRPr="00000000" w14:paraId="00000032">
            <w:pPr>
              <w:pStyle w:val="Heading3"/>
              <w:spacing w:after="0" w:before="0"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Eccles, EBD</w:t>
            </w:r>
            <w:r w:rsidDel="00000000" w:rsidR="00000000" w:rsidRPr="00000000">
              <w:rPr>
                <w:rtl w:val="0"/>
              </w:rPr>
            </w:r>
          </w:p>
        </w:tc>
        <w:tc>
          <w:tcPr>
            <w:vAlign w:val="center"/>
          </w:tcPr>
          <w:p w:rsidR="00000000" w:rsidDel="00000000" w:rsidP="00000000" w:rsidRDefault="00000000" w:rsidRPr="00000000" w14:paraId="00000033">
            <w:pPr>
              <w:pStyle w:val="Heading3"/>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February 18th, 2021</w:t>
            </w:r>
            <w:r w:rsidDel="00000000" w:rsidR="00000000" w:rsidRPr="00000000">
              <w:rPr>
                <w:rtl w:val="0"/>
              </w:rPr>
            </w:r>
          </w:p>
        </w:tc>
        <w:tc>
          <w:tcPr>
            <w:vAlign w:val="center"/>
          </w:tcPr>
          <w:p w:rsidR="00000000" w:rsidDel="00000000" w:rsidP="00000000" w:rsidRDefault="00000000" w:rsidRPr="00000000" w14:paraId="00000034">
            <w:pPr>
              <w:pStyle w:val="Heading3"/>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10:00hrs</w:t>
            </w:r>
            <w:r w:rsidDel="00000000" w:rsidR="00000000" w:rsidRPr="00000000">
              <w:rPr>
                <w:rtl w:val="0"/>
              </w:rPr>
            </w:r>
          </w:p>
        </w:tc>
        <w:tc>
          <w:tcPr>
            <w:vAlign w:val="center"/>
          </w:tcPr>
          <w:p w:rsidR="00000000" w:rsidDel="00000000" w:rsidP="00000000" w:rsidRDefault="00000000" w:rsidRPr="00000000" w14:paraId="00000035">
            <w:pPr>
              <w:pStyle w:val="Heading3"/>
              <w:spacing w:after="0" w:before="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Eccles Landfill Road</w:t>
            </w:r>
            <w:r w:rsidDel="00000000" w:rsidR="00000000" w:rsidRPr="00000000">
              <w:rPr>
                <w:rtl w:val="0"/>
              </w:rPr>
            </w:r>
          </w:p>
        </w:tc>
      </w:tr>
    </w:tbl>
    <w:p w:rsidR="00000000" w:rsidDel="00000000" w:rsidP="00000000" w:rsidRDefault="00000000" w:rsidRPr="00000000" w14:paraId="00000036">
      <w:pPr>
        <w:pStyle w:val="Heading3"/>
        <w:spacing w:after="0" w:before="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pStyle w:val="Heading3"/>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Style w:val="Heading3"/>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Style w:val="Heading3"/>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Style w:val="Heading3"/>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Chief Executive Officer</w:t>
      </w:r>
    </w:p>
    <w:p w:rsidR="00000000" w:rsidDel="00000000" w:rsidP="00000000" w:rsidRDefault="00000000" w:rsidRPr="00000000" w14:paraId="0000003B">
      <w:pPr>
        <w:pStyle w:val="Heading3"/>
        <w:spacing w:after="0" w:before="0" w:lineRule="auto"/>
        <w:ind w:right="594"/>
        <w:jc w:val="both"/>
        <w:rPr>
          <w:sz w:val="24"/>
          <w:szCs w:val="24"/>
        </w:rPr>
      </w:pPr>
      <w:r w:rsidDel="00000000" w:rsidR="00000000" w:rsidRPr="00000000">
        <w:rPr>
          <w:rFonts w:ascii="Times New Roman" w:cs="Times New Roman" w:eastAsia="Times New Roman" w:hAnsi="Times New Roman"/>
          <w:sz w:val="24"/>
          <w:szCs w:val="24"/>
          <w:rtl w:val="0"/>
        </w:rPr>
        <w:t xml:space="preserve">Central Housing &amp; Planning Authority</w:t>
      </w:r>
      <w:r w:rsidDel="00000000" w:rsidR="00000000" w:rsidRPr="00000000">
        <w:rPr>
          <w:rtl w:val="0"/>
        </w:rPr>
      </w:r>
    </w:p>
    <w:p w:rsidR="00000000" w:rsidDel="00000000" w:rsidP="00000000" w:rsidRDefault="00000000" w:rsidRPr="00000000" w14:paraId="0000003C">
      <w:pPr>
        <w:spacing w:before="240" w:lineRule="auto"/>
        <w:rPr/>
      </w:pPr>
      <w:r w:rsidDel="00000000" w:rsidR="00000000" w:rsidRPr="00000000">
        <w:rPr>
          <w:rtl w:val="0"/>
        </w:rPr>
      </w:r>
    </w:p>
    <w:sectPr>
      <w:pgSz w:h="20160" w:w="12240" w:orient="portrait"/>
      <w:pgMar w:bottom="720" w:top="426" w:left="720" w:right="118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color w:val="000000"/>
      </w:rPr>
    </w:lvl>
    <w:lvl w:ilvl="1">
      <w:start w:val="1"/>
      <w:numFmt w:val="lowerRoman"/>
      <w:lvlText w:val="%2."/>
      <w:lvlJc w:val="righ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bullet"/>
      <w:lvlText w:val="-"/>
      <w:lvlJc w:val="left"/>
      <w:pPr>
        <w:ind w:left="870" w:hanging="360"/>
      </w:pPr>
      <w:rPr>
        <w:rFonts w:ascii="Times New Roman" w:cs="Times New Roman" w:eastAsia="Times New Roman" w:hAnsi="Times New Roman"/>
      </w:rPr>
    </w:lvl>
    <w:lvl w:ilvl="1">
      <w:start w:val="1"/>
      <w:numFmt w:val="bullet"/>
      <w:lvlText w:val="o"/>
      <w:lvlJc w:val="left"/>
      <w:pPr>
        <w:ind w:left="1590" w:hanging="360"/>
      </w:pPr>
      <w:rPr>
        <w:rFonts w:ascii="Courier New" w:cs="Courier New" w:eastAsia="Courier New" w:hAnsi="Courier New"/>
      </w:rPr>
    </w:lvl>
    <w:lvl w:ilvl="2">
      <w:start w:val="1"/>
      <w:numFmt w:val="bullet"/>
      <w:lvlText w:val="▪"/>
      <w:lvlJc w:val="left"/>
      <w:pPr>
        <w:ind w:left="2310" w:hanging="360"/>
      </w:pPr>
      <w:rPr>
        <w:rFonts w:ascii="Noto Sans Symbols" w:cs="Noto Sans Symbols" w:eastAsia="Noto Sans Symbols" w:hAnsi="Noto Sans Symbols"/>
      </w:rPr>
    </w:lvl>
    <w:lvl w:ilvl="3">
      <w:start w:val="1"/>
      <w:numFmt w:val="bullet"/>
      <w:lvlText w:val="●"/>
      <w:lvlJc w:val="left"/>
      <w:pPr>
        <w:ind w:left="3030" w:hanging="360"/>
      </w:pPr>
      <w:rPr>
        <w:rFonts w:ascii="Noto Sans Symbols" w:cs="Noto Sans Symbols" w:eastAsia="Noto Sans Symbols" w:hAnsi="Noto Sans Symbols"/>
      </w:rPr>
    </w:lvl>
    <w:lvl w:ilvl="4">
      <w:start w:val="1"/>
      <w:numFmt w:val="bullet"/>
      <w:lvlText w:val="o"/>
      <w:lvlJc w:val="left"/>
      <w:pPr>
        <w:ind w:left="3750" w:hanging="360"/>
      </w:pPr>
      <w:rPr>
        <w:rFonts w:ascii="Courier New" w:cs="Courier New" w:eastAsia="Courier New" w:hAnsi="Courier New"/>
      </w:rPr>
    </w:lvl>
    <w:lvl w:ilvl="5">
      <w:start w:val="1"/>
      <w:numFmt w:val="bullet"/>
      <w:lvlText w:val="▪"/>
      <w:lvlJc w:val="left"/>
      <w:pPr>
        <w:ind w:left="4470" w:hanging="360"/>
      </w:pPr>
      <w:rPr>
        <w:rFonts w:ascii="Noto Sans Symbols" w:cs="Noto Sans Symbols" w:eastAsia="Noto Sans Symbols" w:hAnsi="Noto Sans Symbols"/>
      </w:rPr>
    </w:lvl>
    <w:lvl w:ilvl="6">
      <w:start w:val="1"/>
      <w:numFmt w:val="bullet"/>
      <w:lvlText w:val="●"/>
      <w:lvlJc w:val="left"/>
      <w:pPr>
        <w:ind w:left="5190" w:hanging="360"/>
      </w:pPr>
      <w:rPr>
        <w:rFonts w:ascii="Noto Sans Symbols" w:cs="Noto Sans Symbols" w:eastAsia="Noto Sans Symbols" w:hAnsi="Noto Sans Symbols"/>
      </w:rPr>
    </w:lvl>
    <w:lvl w:ilvl="7">
      <w:start w:val="1"/>
      <w:numFmt w:val="bullet"/>
      <w:lvlText w:val="o"/>
      <w:lvlJc w:val="left"/>
      <w:pPr>
        <w:ind w:left="5910" w:hanging="360"/>
      </w:pPr>
      <w:rPr>
        <w:rFonts w:ascii="Courier New" w:cs="Courier New" w:eastAsia="Courier New" w:hAnsi="Courier New"/>
      </w:rPr>
    </w:lvl>
    <w:lvl w:ilvl="8">
      <w:start w:val="1"/>
      <w:numFmt w:val="bullet"/>
      <w:lvlText w:val="▪"/>
      <w:lvlJc w:val="left"/>
      <w:pPr>
        <w:ind w:left="663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color w:val="000000"/>
        <w:sz w:val="24"/>
        <w:szCs w:val="24"/>
      </w:rPr>
    </w:lvl>
    <w:lvl w:ilvl="1">
      <w:start w:val="1"/>
      <w:numFmt w:val="lowerRoman"/>
      <w:lvlText w:val="%2."/>
      <w:lvlJc w:val="righ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jc w:val="left"/>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